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F3E" w:rsidRPr="00BF79FA" w:rsidRDefault="00371F3E" w:rsidP="00371F3E">
      <w:pPr>
        <w:pageBreakBefore/>
        <w:spacing w:after="240" w:line="288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9FA">
        <w:rPr>
          <w:rFonts w:ascii="Times New Roman" w:hAnsi="Times New Roman" w:cs="Times New Roman"/>
          <w:b/>
          <w:bCs/>
          <w:sz w:val="28"/>
          <w:szCs w:val="28"/>
        </w:rPr>
        <w:t>ОБЩЕСТВЕННОЕ ПИТАНИЕ</w:t>
      </w:r>
    </w:p>
    <w:p w:rsidR="00371F3E" w:rsidRPr="00BF79FA" w:rsidRDefault="00371F3E" w:rsidP="00371F3E">
      <w:pPr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BF79FA">
        <w:rPr>
          <w:rFonts w:ascii="Times New Roman" w:hAnsi="Times New Roman" w:cs="Times New Roman"/>
          <w:bCs/>
        </w:rPr>
        <w:t xml:space="preserve">Оборот общественного питания </w:t>
      </w:r>
      <w:r w:rsidRPr="00BF79FA">
        <w:rPr>
          <w:rFonts w:ascii="Times New Roman" w:hAnsi="Times New Roman" w:cs="Times New Roman"/>
        </w:rPr>
        <w:t xml:space="preserve"> в  </w:t>
      </w:r>
      <w:r w:rsidR="00D4702D">
        <w:rPr>
          <w:rFonts w:ascii="Times New Roman" w:hAnsi="Times New Roman" w:cs="Times New Roman"/>
        </w:rPr>
        <w:t>сентябр</w:t>
      </w:r>
      <w:r w:rsidR="00F613B6">
        <w:rPr>
          <w:rFonts w:ascii="Times New Roman" w:hAnsi="Times New Roman" w:cs="Times New Roman"/>
        </w:rPr>
        <w:t>е</w:t>
      </w:r>
      <w:r w:rsidRPr="00BF79FA">
        <w:rPr>
          <w:rFonts w:ascii="Times New Roman" w:hAnsi="Times New Roman" w:cs="Times New Roman"/>
        </w:rPr>
        <w:t xml:space="preserve"> 2020 года составил  </w:t>
      </w:r>
      <w:r w:rsidR="00F613B6">
        <w:rPr>
          <w:rFonts w:ascii="Times New Roman" w:hAnsi="Times New Roman" w:cs="Times New Roman"/>
        </w:rPr>
        <w:t>1</w:t>
      </w:r>
      <w:r w:rsidR="00D4702D">
        <w:rPr>
          <w:rFonts w:ascii="Times New Roman" w:hAnsi="Times New Roman" w:cs="Times New Roman"/>
        </w:rPr>
        <w:t>8</w:t>
      </w:r>
      <w:r w:rsidR="00F613B6">
        <w:rPr>
          <w:rFonts w:ascii="Times New Roman" w:hAnsi="Times New Roman" w:cs="Times New Roman"/>
        </w:rPr>
        <w:t>,</w:t>
      </w:r>
      <w:r w:rsidR="00D4702D">
        <w:rPr>
          <w:rFonts w:ascii="Times New Roman" w:hAnsi="Times New Roman" w:cs="Times New Roman"/>
        </w:rPr>
        <w:t>9</w:t>
      </w:r>
      <w:r w:rsidRPr="00BF79FA">
        <w:rPr>
          <w:rFonts w:ascii="Times New Roman" w:hAnsi="Times New Roman" w:cs="Times New Roman"/>
        </w:rPr>
        <w:t xml:space="preserve"> миллиард</w:t>
      </w:r>
      <w:r w:rsidR="009A50B7">
        <w:rPr>
          <w:rFonts w:ascii="Times New Roman" w:hAnsi="Times New Roman" w:cs="Times New Roman"/>
        </w:rPr>
        <w:t xml:space="preserve">а </w:t>
      </w:r>
      <w:r w:rsidRPr="00BF79FA">
        <w:rPr>
          <w:rFonts w:ascii="Times New Roman" w:hAnsi="Times New Roman" w:cs="Times New Roman"/>
        </w:rPr>
        <w:t xml:space="preserve">рублей, или </w:t>
      </w:r>
      <w:r w:rsidR="00F613B6">
        <w:rPr>
          <w:rFonts w:ascii="Times New Roman" w:hAnsi="Times New Roman" w:cs="Times New Roman"/>
        </w:rPr>
        <w:t>9</w:t>
      </w:r>
      <w:r w:rsidR="00D4702D">
        <w:rPr>
          <w:rFonts w:ascii="Times New Roman" w:hAnsi="Times New Roman" w:cs="Times New Roman"/>
        </w:rPr>
        <w:t>6</w:t>
      </w:r>
      <w:r w:rsidR="00F613B6">
        <w:rPr>
          <w:rFonts w:ascii="Times New Roman" w:hAnsi="Times New Roman" w:cs="Times New Roman"/>
        </w:rPr>
        <w:t>,</w:t>
      </w:r>
      <w:r w:rsidR="00D4702D">
        <w:rPr>
          <w:rFonts w:ascii="Times New Roman" w:hAnsi="Times New Roman" w:cs="Times New Roman"/>
        </w:rPr>
        <w:t>7</w:t>
      </w:r>
      <w:r w:rsidRPr="00BF79FA">
        <w:rPr>
          <w:rFonts w:ascii="Times New Roman" w:hAnsi="Times New Roman" w:cs="Times New Roman"/>
        </w:rPr>
        <w:t xml:space="preserve">  процента (в сопоставимых ценах) к </w:t>
      </w:r>
      <w:r w:rsidR="00D4702D">
        <w:rPr>
          <w:rFonts w:ascii="Times New Roman" w:hAnsi="Times New Roman" w:cs="Times New Roman"/>
        </w:rPr>
        <w:t>сентябрю</w:t>
      </w:r>
      <w:r w:rsidRPr="00BF79FA">
        <w:rPr>
          <w:rFonts w:ascii="Times New Roman" w:hAnsi="Times New Roman" w:cs="Times New Roman"/>
        </w:rPr>
        <w:t xml:space="preserve"> 2019 года, в январе-</w:t>
      </w:r>
      <w:r w:rsidR="00D4702D">
        <w:rPr>
          <w:rFonts w:ascii="Times New Roman" w:hAnsi="Times New Roman" w:cs="Times New Roman"/>
        </w:rPr>
        <w:t>сентябр</w:t>
      </w:r>
      <w:r w:rsidR="00F613B6">
        <w:rPr>
          <w:rFonts w:ascii="Times New Roman" w:hAnsi="Times New Roman" w:cs="Times New Roman"/>
        </w:rPr>
        <w:t>е</w:t>
      </w:r>
      <w:r w:rsidRPr="00BF79FA">
        <w:rPr>
          <w:rFonts w:ascii="Times New Roman" w:hAnsi="Times New Roman" w:cs="Times New Roman"/>
        </w:rPr>
        <w:t xml:space="preserve"> 2020 года </w:t>
      </w:r>
      <w:r w:rsidRPr="00BF79FA">
        <w:rPr>
          <w:rFonts w:ascii="Times New Roman" w:hAnsi="Times New Roman" w:cs="Times New Roman"/>
          <w:spacing w:val="2"/>
        </w:rPr>
        <w:t xml:space="preserve">– </w:t>
      </w:r>
      <w:r w:rsidR="00F613B6">
        <w:rPr>
          <w:rFonts w:ascii="Times New Roman" w:hAnsi="Times New Roman" w:cs="Times New Roman"/>
          <w:spacing w:val="2"/>
        </w:rPr>
        <w:t>1</w:t>
      </w:r>
      <w:r w:rsidR="00D4702D">
        <w:rPr>
          <w:rFonts w:ascii="Times New Roman" w:hAnsi="Times New Roman" w:cs="Times New Roman"/>
          <w:spacing w:val="2"/>
        </w:rPr>
        <w:t>19</w:t>
      </w:r>
      <w:r w:rsidR="00F613B6">
        <w:rPr>
          <w:rFonts w:ascii="Times New Roman" w:hAnsi="Times New Roman" w:cs="Times New Roman"/>
          <w:spacing w:val="2"/>
        </w:rPr>
        <w:t>,</w:t>
      </w:r>
      <w:r w:rsidR="00D4702D">
        <w:rPr>
          <w:rFonts w:ascii="Times New Roman" w:hAnsi="Times New Roman" w:cs="Times New Roman"/>
          <w:spacing w:val="2"/>
        </w:rPr>
        <w:t>7</w:t>
      </w:r>
      <w:r>
        <w:rPr>
          <w:rFonts w:ascii="Times New Roman" w:hAnsi="Times New Roman" w:cs="Times New Roman"/>
        </w:rPr>
        <w:t xml:space="preserve"> миллиарда</w:t>
      </w:r>
      <w:r w:rsidRPr="00BF79FA">
        <w:rPr>
          <w:rFonts w:ascii="Times New Roman" w:hAnsi="Times New Roman" w:cs="Times New Roman"/>
        </w:rPr>
        <w:t xml:space="preserve"> рублей, или </w:t>
      </w:r>
      <w:r w:rsidR="00D4702D">
        <w:rPr>
          <w:rFonts w:ascii="Times New Roman" w:hAnsi="Times New Roman" w:cs="Times New Roman"/>
        </w:rPr>
        <w:t>80</w:t>
      </w:r>
      <w:r w:rsidRPr="00BF79FA">
        <w:rPr>
          <w:rFonts w:ascii="Times New Roman" w:hAnsi="Times New Roman" w:cs="Times New Roman"/>
        </w:rPr>
        <w:t>,</w:t>
      </w:r>
      <w:r w:rsidR="00D4702D">
        <w:rPr>
          <w:rFonts w:ascii="Times New Roman" w:hAnsi="Times New Roman" w:cs="Times New Roman"/>
        </w:rPr>
        <w:t>1</w:t>
      </w:r>
      <w:r w:rsidRPr="00BF79FA">
        <w:rPr>
          <w:rFonts w:ascii="Times New Roman" w:hAnsi="Times New Roman" w:cs="Times New Roman"/>
        </w:rPr>
        <w:t xml:space="preserve"> процента к соответствующему периоду предыдущего года.</w:t>
      </w:r>
    </w:p>
    <w:p w:rsidR="00371F3E" w:rsidRDefault="00371F3E" w:rsidP="00371F3E">
      <w:pPr>
        <w:spacing w:line="240" w:lineRule="auto"/>
      </w:pPr>
    </w:p>
    <w:p w:rsidR="00371F3E" w:rsidRDefault="00371F3E" w:rsidP="00371F3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79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Индекс физического объема </w:t>
      </w:r>
      <w:r w:rsidRPr="00BF79F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оборота общественного питания</w:t>
      </w:r>
      <w:r w:rsidRPr="00BF79F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Arial" w:eastAsia="Times New Roman" w:hAnsi="Arial" w:cs="Arial"/>
          <w:b/>
          <w:bCs/>
          <w:noProof/>
          <w:color w:val="1F497D" w:themeColor="text2"/>
          <w:sz w:val="24"/>
          <w:szCs w:val="21"/>
        </w:rPr>
        <w:drawing>
          <wp:inline distT="0" distB="0" distL="0" distR="0">
            <wp:extent cx="6137031" cy="3226777"/>
            <wp:effectExtent l="0" t="0" r="0" b="0"/>
            <wp:docPr id="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71F3E" w:rsidRPr="00F35782" w:rsidRDefault="00371F3E" w:rsidP="00371F3E">
      <w:pPr>
        <w:spacing w:line="240" w:lineRule="auto"/>
        <w:jc w:val="center"/>
      </w:pPr>
      <w:r w:rsidRPr="00BF79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Структура оборота общественного питания </w:t>
      </w:r>
      <w:r w:rsidRPr="00BF79F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по хозяйствующим субъектам</w:t>
      </w:r>
      <w:r w:rsidRPr="00BF79F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 январе-</w:t>
      </w:r>
      <w:r w:rsidR="00D4702D">
        <w:rPr>
          <w:rFonts w:ascii="Times New Roman" w:eastAsia="Times New Roman" w:hAnsi="Times New Roman" w:cs="Times New Roman"/>
          <w:b/>
          <w:bCs/>
          <w:sz w:val="28"/>
          <w:szCs w:val="28"/>
        </w:rPr>
        <w:t>сентябре</w:t>
      </w:r>
      <w:r w:rsidRPr="00BF79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2020 года</w:t>
      </w:r>
      <w:r>
        <w:rPr>
          <w:rFonts w:ascii="Arial" w:eastAsia="Times New Roman" w:hAnsi="Arial" w:cs="Arial"/>
          <w:noProof/>
          <w:color w:val="2E4FAE"/>
          <w:sz w:val="21"/>
          <w:szCs w:val="21"/>
        </w:rPr>
        <w:drawing>
          <wp:inline distT="0" distB="0" distL="0" distR="0">
            <wp:extent cx="5433646" cy="3288323"/>
            <wp:effectExtent l="0" t="0" r="0" b="0"/>
            <wp:docPr id="1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76D3F" w:rsidRDefault="00376D3F"/>
    <w:sectPr w:rsidR="00376D3F" w:rsidSect="00376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F3E"/>
    <w:rsid w:val="00285121"/>
    <w:rsid w:val="00360B9D"/>
    <w:rsid w:val="00371F3E"/>
    <w:rsid w:val="00376D3F"/>
    <w:rsid w:val="003F0564"/>
    <w:rsid w:val="004036F3"/>
    <w:rsid w:val="005C1C0F"/>
    <w:rsid w:val="009A50B7"/>
    <w:rsid w:val="009E6F44"/>
    <w:rsid w:val="00C97AA5"/>
    <w:rsid w:val="00CA7D74"/>
    <w:rsid w:val="00D4702D"/>
    <w:rsid w:val="00EF40EB"/>
    <w:rsid w:val="00F613B6"/>
    <w:rsid w:val="00F8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F3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300"/>
            </a:pPr>
            <a:r>
              <a:rPr lang="ru-RU" sz="1300"/>
              <a:t>2020 год</a:t>
            </a:r>
          </a:p>
        </c:rich>
      </c:tx>
    </c:title>
    <c:plotArea>
      <c:layout>
        <c:manualLayout>
          <c:layoutTarget val="inner"/>
          <c:xMode val="edge"/>
          <c:yMode val="edge"/>
          <c:x val="2.8971663985402758E-2"/>
          <c:y val="0.14689022513796327"/>
          <c:w val="0.95447309945151004"/>
          <c:h val="0.66432672593745057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 соответствующему месяцу предыдущего года</c:v>
                </c:pt>
              </c:strCache>
            </c:strRef>
          </c:tx>
          <c:dLbls>
            <c:dLbl>
              <c:idx val="0"/>
              <c:layout>
                <c:manualLayout>
                  <c:x val="-5.3804518830034044E-2"/>
                  <c:y val="-5.8680534787498496E-2"/>
                </c:manualLayout>
              </c:layout>
              <c:showVal val="1"/>
            </c:dLbl>
            <c:dLbl>
              <c:idx val="1"/>
              <c:layout>
                <c:manualLayout>
                  <c:x val="-5.1736943995412142E-2"/>
                  <c:y val="-5.1587301587301577E-2"/>
                </c:manualLayout>
              </c:layout>
              <c:showVal val="1"/>
            </c:dLbl>
            <c:dLbl>
              <c:idx val="2"/>
              <c:layout>
                <c:manualLayout>
                  <c:x val="-2.8971826930644477E-2"/>
                  <c:y val="-5.0776362915689564E-2"/>
                </c:manualLayout>
              </c:layout>
              <c:showVal val="1"/>
            </c:dLbl>
            <c:dLbl>
              <c:idx val="3"/>
              <c:layout>
                <c:manualLayout>
                  <c:x val="-7.6568294994762282E-2"/>
                  <c:y val="3.2161503568421491E-2"/>
                </c:manualLayout>
              </c:layout>
              <c:showVal val="1"/>
            </c:dLbl>
            <c:dLbl>
              <c:idx val="4"/>
              <c:layout>
                <c:manualLayout>
                  <c:x val="-3.3110473126174614E-2"/>
                  <c:y val="5.9166778491355411E-2"/>
                </c:manualLayout>
              </c:layout>
              <c:showVal val="1"/>
            </c:dLbl>
            <c:dLbl>
              <c:idx val="5"/>
              <c:layout>
                <c:manualLayout>
                  <c:x val="-6.2082137111577921E-3"/>
                  <c:y val="5.9037237466364037E-2"/>
                </c:manualLayout>
              </c:layout>
              <c:showVal val="1"/>
            </c:dLbl>
            <c:dLbl>
              <c:idx val="6"/>
              <c:layout>
                <c:manualLayout>
                  <c:x val="-2.8971663985402758E-2"/>
                  <c:y val="7.0844684959636625E-2"/>
                </c:manualLayout>
              </c:layout>
              <c:showVal val="1"/>
            </c:dLbl>
            <c:dLbl>
              <c:idx val="7"/>
              <c:layout>
                <c:manualLayout>
                  <c:x val="-2.6902259415016852E-2"/>
                  <c:y val="5.116560580418178E-2"/>
                </c:manualLayout>
              </c:layout>
              <c:showVal val="1"/>
            </c:dLbl>
            <c:dLbl>
              <c:idx val="8"/>
              <c:layout>
                <c:manualLayout>
                  <c:x val="-3.3110473126174551E-2"/>
                  <c:y val="5.90372374663636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solidFill>
                      <a:schemeClr val="accent1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Лист1!$A$2:$A$10</c:f>
              <c:strCache>
                <c:ptCount val="9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108.3</c:v>
                </c:pt>
                <c:pt idx="1">
                  <c:v>110.1</c:v>
                </c:pt>
                <c:pt idx="2">
                  <c:v>99.7</c:v>
                </c:pt>
                <c:pt idx="3">
                  <c:v>33.6</c:v>
                </c:pt>
                <c:pt idx="4">
                  <c:v>35.800000000000004</c:v>
                </c:pt>
                <c:pt idx="5">
                  <c:v>56.9</c:v>
                </c:pt>
                <c:pt idx="6">
                  <c:v>86.4</c:v>
                </c:pt>
                <c:pt idx="7">
                  <c:v>91.1</c:v>
                </c:pt>
                <c:pt idx="8">
                  <c:v>96.7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 предыдущему месяцу</c:v>
                </c:pt>
              </c:strCache>
            </c:strRef>
          </c:tx>
          <c:dLbls>
            <c:dLbl>
              <c:idx val="0"/>
              <c:layout>
                <c:manualLayout>
                  <c:x val="4.1388091407718224E-3"/>
                  <c:y val="0.11807447493272703"/>
                </c:manualLayout>
              </c:layout>
              <c:dLblPos val="t"/>
              <c:showVal val="1"/>
            </c:dLbl>
            <c:dLbl>
              <c:idx val="1"/>
              <c:layout>
                <c:manualLayout>
                  <c:x val="0"/>
                  <c:y val="1.1807447493272711E-2"/>
                </c:manualLayout>
              </c:layout>
              <c:dLblPos val="t"/>
              <c:showVal val="1"/>
            </c:dLbl>
            <c:dLbl>
              <c:idx val="2"/>
              <c:layout>
                <c:manualLayout>
                  <c:x val="-6.2082137111577462E-3"/>
                  <c:y val="0.10626702743945422"/>
                </c:manualLayout>
              </c:layout>
              <c:dLblPos val="t"/>
              <c:showVal val="1"/>
            </c:dLbl>
            <c:dLbl>
              <c:idx val="3"/>
              <c:dLblPos val="t"/>
              <c:showVal val="1"/>
            </c:dLbl>
            <c:dLbl>
              <c:idx val="4"/>
              <c:dLblPos val="t"/>
              <c:showVal val="1"/>
            </c:dLbl>
            <c:dLbl>
              <c:idx val="5"/>
              <c:layout>
                <c:manualLayout>
                  <c:x val="-1.2416427422315461E-2"/>
                  <c:y val="0"/>
                </c:manualLayout>
              </c:layout>
              <c:dLblPos val="t"/>
              <c:showVal val="1"/>
            </c:dLbl>
            <c:dLbl>
              <c:idx val="6"/>
              <c:dLblPos val="t"/>
              <c:showVal val="1"/>
            </c:dLbl>
            <c:dLbl>
              <c:idx val="7"/>
              <c:layout>
                <c:manualLayout>
                  <c:x val="-2.8971663985402723E-2"/>
                  <c:y val="-9.4459579946181635E-2"/>
                </c:manualLayout>
              </c:layout>
              <c:showVal val="1"/>
            </c:dLbl>
            <c:dLbl>
              <c:idx val="8"/>
              <c:layout>
                <c:manualLayout>
                  <c:x val="-3.1041068555788625E-2"/>
                  <c:y val="-6.6908869128545309E-2"/>
                </c:manualLayout>
              </c:layout>
              <c:showVal val="1"/>
            </c:dLbl>
            <c:showVal val="1"/>
          </c:dLbls>
          <c:cat>
            <c:strRef>
              <c:f>Лист1!$A$2:$A$10</c:f>
              <c:strCache>
                <c:ptCount val="9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92.4</c:v>
                </c:pt>
                <c:pt idx="1">
                  <c:v>85.2</c:v>
                </c:pt>
                <c:pt idx="2">
                  <c:v>98</c:v>
                </c:pt>
                <c:pt idx="3">
                  <c:v>34.4</c:v>
                </c:pt>
                <c:pt idx="4">
                  <c:v>109.9</c:v>
                </c:pt>
                <c:pt idx="5">
                  <c:v>163.69999999999999</c:v>
                </c:pt>
                <c:pt idx="6">
                  <c:v>158.69999999999999</c:v>
                </c:pt>
                <c:pt idx="7">
                  <c:v>106.9</c:v>
                </c:pt>
                <c:pt idx="8">
                  <c:v>116.3</c:v>
                </c:pt>
              </c:numCache>
            </c:numRef>
          </c:val>
        </c:ser>
        <c:marker val="1"/>
        <c:axId val="92530944"/>
        <c:axId val="92672384"/>
      </c:lineChart>
      <c:catAx>
        <c:axId val="92530944"/>
        <c:scaling>
          <c:orientation val="minMax"/>
        </c:scaling>
        <c:axPos val="b"/>
        <c:tickLblPos val="nextTo"/>
        <c:crossAx val="92672384"/>
        <c:crosses val="autoZero"/>
        <c:auto val="1"/>
        <c:lblAlgn val="ctr"/>
        <c:lblOffset val="100"/>
      </c:catAx>
      <c:valAx>
        <c:axId val="92672384"/>
        <c:scaling>
          <c:orientation val="minMax"/>
          <c:min val="0"/>
        </c:scaling>
        <c:delete val="1"/>
        <c:axPos val="l"/>
        <c:majorGridlines/>
        <c:numFmt formatCode="General" sourceLinked="1"/>
        <c:tickLblPos val="nextTo"/>
        <c:crossAx val="92530944"/>
        <c:crosses val="autoZero"/>
        <c:crossBetween val="between"/>
        <c:majorUnit val="40"/>
      </c:valAx>
    </c:plotArea>
    <c:legend>
      <c:legendPos val="b"/>
      <c:layout>
        <c:manualLayout>
          <c:xMode val="edge"/>
          <c:yMode val="edge"/>
          <c:x val="2.9649190300651933E-2"/>
          <c:y val="0.91289870016247965"/>
          <c:w val="0.93045461359963433"/>
          <c:h val="6.3291776027996655E-2"/>
        </c:manualLayout>
      </c:layout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0"/>
    </c:view3D>
    <c:plotArea>
      <c:layout>
        <c:manualLayout>
          <c:layoutTarget val="inner"/>
          <c:xMode val="edge"/>
          <c:yMode val="edge"/>
          <c:x val="0.12273011528539129"/>
          <c:y val="0.11623403679406805"/>
          <c:w val="0.7986111111111116"/>
          <c:h val="0.5193474012382168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gradFill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c:spPr>
          <c:explosion val="19"/>
          <c:dPt>
            <c:idx val="0"/>
            <c:spPr>
              <a:gradFill>
                <a:gsLst>
                  <a:gs pos="0">
                    <a:srgbClr val="000000"/>
                  </a:gs>
                  <a:gs pos="39999">
                    <a:srgbClr val="0A128C"/>
                  </a:gs>
                  <a:gs pos="70000">
                    <a:srgbClr val="181CC7"/>
                  </a:gs>
                  <a:gs pos="88000">
                    <a:srgbClr val="7005D4"/>
                  </a:gs>
                  <a:gs pos="100000">
                    <a:srgbClr val="8C3D91"/>
                  </a:gs>
                </a:gsLst>
                <a:lin ang="5400000" scaled="0"/>
              </a:gradFill>
            </c:spPr>
          </c:dPt>
          <c:dPt>
            <c:idx val="1"/>
            <c:spPr>
              <a:gradFill>
                <a:gsLst>
                  <a:gs pos="0">
                    <a:srgbClr val="DDEBCF"/>
                  </a:gs>
                  <a:gs pos="50000">
                    <a:srgbClr val="9CB86E"/>
                  </a:gs>
                  <a:gs pos="100000">
                    <a:srgbClr val="156B13"/>
                  </a:gs>
                </a:gsLst>
                <a:lin ang="5400000" scaled="0"/>
              </a:gradFill>
            </c:spPr>
          </c:dPt>
          <c:dPt>
            <c:idx val="2"/>
            <c:spPr>
              <a:gradFill>
                <a:gsLst>
                  <a:gs pos="0">
                    <a:srgbClr val="5E9EFF"/>
                  </a:gs>
                  <a:gs pos="39999">
                    <a:srgbClr val="85C2FF"/>
                  </a:gs>
                  <a:gs pos="70000">
                    <a:srgbClr val="C4D6EB"/>
                  </a:gs>
                  <a:gs pos="100000">
                    <a:srgbClr val="FFEBFA"/>
                  </a:gs>
                </a:gsLst>
                <a:lin ang="5400000" scaled="0"/>
              </a:gradFill>
            </c:spPr>
          </c:dPt>
          <c:dPt>
            <c:idx val="3"/>
            <c:spPr>
              <a:gradFill>
                <a:gsLst>
                  <a:gs pos="0">
                    <a:srgbClr val="D6B19C"/>
                  </a:gs>
                  <a:gs pos="30000">
                    <a:srgbClr val="D49E6C"/>
                  </a:gs>
                  <a:gs pos="70000">
                    <a:srgbClr val="A65528"/>
                  </a:gs>
                  <a:gs pos="100000">
                    <a:srgbClr val="663012"/>
                  </a:gs>
                </a:gsLst>
                <a:lin ang="5400000" scaled="0"/>
              </a:gradFill>
            </c:spPr>
          </c:dPt>
          <c:dLbls>
            <c:dLbl>
              <c:idx val="0"/>
              <c:layout>
                <c:manualLayout>
                  <c:x val="5.7258238759021113E-2"/>
                  <c:y val="-0.2926178480641956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  <a:r>
                      <a:rPr lang="ru-RU"/>
                      <a:t>3</a:t>
                    </a:r>
                    <a:r>
                      <a:rPr lang="en-US"/>
                      <a:t>,</a:t>
                    </a:r>
                    <a:r>
                      <a:rPr lang="ru-RU"/>
                      <a:t>3</a:t>
                    </a:r>
                  </a:p>
                  <a:p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4.0295219766760685E-3"/>
                  <c:y val="3.667947562344900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</a:t>
                    </a:r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8.3130185514478897E-4"/>
                  <c:y val="-6.458003061134897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8</a:t>
                    </a:r>
                    <a:r>
                      <a:rPr lang="en-US"/>
                      <a:t>,</a:t>
                    </a:r>
                    <a:r>
                      <a:rPr lang="ru-RU"/>
                      <a:t>9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6.4723680373288007E-3"/>
                  <c:y val="-8.716776191717352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</a:t>
                    </a:r>
                    <a:r>
                      <a:rPr lang="en-US"/>
                      <a:t>,</a:t>
                    </a:r>
                    <a:r>
                      <a:rPr lang="ru-RU"/>
                      <a:t>6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layout>
                <c:manualLayout>
                  <c:x val="2.0335881223053232E-2"/>
                  <c:y val="3.3041148013396222E-3"/>
                </c:manualLayout>
              </c:layout>
              <c:showVal val="1"/>
            </c:dLbl>
            <c:numFmt formatCode="General" sourceLinked="0"/>
            <c:showVal val="1"/>
            <c:showLeaderLines val="1"/>
            <c:leaderLines>
              <c:spPr>
                <a:ln>
                  <a:noFill/>
                </a:ln>
              </c:spPr>
            </c:leaderLines>
          </c:dLbls>
          <c:cat>
            <c:strRef>
              <c:f>Лист1!$A$2:$A$5</c:f>
              <c:strCache>
                <c:ptCount val="4"/>
                <c:pt idx="0">
                  <c:v>Организации, не относящиеся к субъектам малого и среднего предпринимательства</c:v>
                </c:pt>
                <c:pt idx="1">
                  <c:v>Субъекты среднего предпринимательства</c:v>
                </c:pt>
                <c:pt idx="2">
                  <c:v>Малые предприятия (включая микропредприятия)</c:v>
                </c:pt>
                <c:pt idx="3">
                  <c:v>Индивидуальные предприниматели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74.3</c:v>
                </c:pt>
                <c:pt idx="1">
                  <c:v>1.3</c:v>
                </c:pt>
                <c:pt idx="2">
                  <c:v>18.100000000000001</c:v>
                </c:pt>
                <c:pt idx="3">
                  <c:v>6.3</c:v>
                </c:pt>
              </c:numCache>
            </c:numRef>
          </c:val>
        </c:ser>
      </c:pie3DChart>
    </c:plotArea>
    <c:legend>
      <c:legendPos val="b"/>
      <c:txPr>
        <a:bodyPr/>
        <a:lstStyle/>
        <a:p>
          <a:pPr>
            <a:defRPr sz="900">
              <a:latin typeface="Arial" panose="020B0604020202020204" pitchFamily="34" charset="0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0.80591</cdr:x>
      <cdr:y>0.03387</cdr:y>
    </cdr:from>
    <cdr:to>
      <cdr:x>0.98069</cdr:x>
      <cdr:y>0.10874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4378570" y="111369"/>
          <a:ext cx="949569" cy="2461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900" i="1">
              <a:latin typeface="Arial" panose="020B0604020202020204" pitchFamily="34" charset="0"/>
              <a:cs typeface="Arial" panose="020B0604020202020204" pitchFamily="34" charset="0"/>
            </a:rPr>
            <a:t>процентов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p77_DeevaNV</dc:creator>
  <cp:lastModifiedBy>p77_DeevaNV</cp:lastModifiedBy>
  <cp:revision>7</cp:revision>
  <dcterms:created xsi:type="dcterms:W3CDTF">2020-08-04T09:06:00Z</dcterms:created>
  <dcterms:modified xsi:type="dcterms:W3CDTF">2020-10-15T11:54:00Z</dcterms:modified>
</cp:coreProperties>
</file>